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BA5F" w14:textId="5476D9FB" w:rsidR="004C467E" w:rsidRPr="004C467E" w:rsidRDefault="004C467E" w:rsidP="004C467E">
      <w:pPr>
        <w:rPr>
          <w:rFonts w:ascii="Arial" w:eastAsiaTheme="majorEastAsia" w:hAnsi="Arial" w:cs="Arial"/>
          <w:sz w:val="24"/>
          <w:szCs w:val="24"/>
        </w:rPr>
      </w:pPr>
      <w:r w:rsidRPr="004C467E">
        <w:rPr>
          <w:rFonts w:ascii="Arial" w:eastAsiaTheme="majorEastAsia" w:hAnsi="Arial" w:cs="Arial"/>
          <w:sz w:val="24"/>
          <w:szCs w:val="24"/>
        </w:rPr>
        <w:t>The modern discussion of divine simplicity often feels like a tug</w:t>
      </w:r>
      <w:r w:rsidRPr="004C467E">
        <w:rPr>
          <w:rFonts w:ascii="Arial" w:eastAsiaTheme="majorEastAsia" w:hAnsi="Arial" w:cs="Arial"/>
          <w:sz w:val="24"/>
          <w:szCs w:val="24"/>
        </w:rPr>
        <w:noBreakHyphen/>
        <w:t>of</w:t>
      </w:r>
      <w:r w:rsidRPr="004C467E">
        <w:rPr>
          <w:rFonts w:ascii="Arial" w:eastAsiaTheme="majorEastAsia" w:hAnsi="Arial" w:cs="Arial"/>
          <w:sz w:val="24"/>
          <w:szCs w:val="24"/>
        </w:rPr>
        <w:noBreakHyphen/>
        <w:t>war between two dead ends. On one side stand the heirs of late</w:t>
      </w:r>
      <w:r w:rsidRPr="004C467E">
        <w:rPr>
          <w:rFonts w:ascii="Arial" w:eastAsiaTheme="majorEastAsia" w:hAnsi="Arial" w:cs="Arial"/>
          <w:sz w:val="24"/>
          <w:szCs w:val="24"/>
        </w:rPr>
        <w:noBreakHyphen/>
        <w:t>scholastic metaphysics</w:t>
      </w:r>
      <w:r w:rsidR="00FB2532">
        <w:rPr>
          <w:rFonts w:ascii="Arial" w:eastAsiaTheme="majorEastAsia" w:hAnsi="Arial" w:cs="Arial"/>
          <w:sz w:val="24"/>
          <w:szCs w:val="24"/>
        </w:rPr>
        <w:t xml:space="preserve">, </w:t>
      </w:r>
      <w:r w:rsidRPr="004C467E">
        <w:rPr>
          <w:rFonts w:ascii="Arial" w:eastAsiaTheme="majorEastAsia" w:hAnsi="Arial" w:cs="Arial"/>
          <w:sz w:val="24"/>
          <w:szCs w:val="24"/>
        </w:rPr>
        <w:t>Suárez, the Baroque manualists, a good deal of twentieth</w:t>
      </w:r>
      <w:r w:rsidRPr="004C467E">
        <w:rPr>
          <w:rFonts w:ascii="Arial" w:eastAsiaTheme="majorEastAsia" w:hAnsi="Arial" w:cs="Arial"/>
          <w:sz w:val="24"/>
          <w:szCs w:val="24"/>
        </w:rPr>
        <w:noBreakHyphen/>
        <w:t>century neo</w:t>
      </w:r>
      <w:r w:rsidRPr="004C467E">
        <w:rPr>
          <w:rFonts w:ascii="Arial" w:eastAsiaTheme="majorEastAsia" w:hAnsi="Arial" w:cs="Arial"/>
          <w:sz w:val="24"/>
          <w:szCs w:val="24"/>
        </w:rPr>
        <w:noBreakHyphen/>
        <w:t>Thomism</w:t>
      </w:r>
      <w:r w:rsidR="00FB2532">
        <w:rPr>
          <w:rFonts w:ascii="Arial" w:eastAsiaTheme="majorEastAsia" w:hAnsi="Arial" w:cs="Arial"/>
          <w:sz w:val="24"/>
          <w:szCs w:val="24"/>
        </w:rPr>
        <w:t xml:space="preserve">, </w:t>
      </w:r>
      <w:r w:rsidRPr="004C467E">
        <w:rPr>
          <w:rFonts w:ascii="Arial" w:eastAsiaTheme="majorEastAsia" w:hAnsi="Arial" w:cs="Arial"/>
          <w:sz w:val="24"/>
          <w:szCs w:val="24"/>
        </w:rPr>
        <w:t xml:space="preserve">whose brilliant analytic distinctions can harden into what Henri de Lubac once called an “inert catalogue of predicates.” On the other side looms the Kantian legacy: a critical reserve that confines theological speech to the frail interior of consciousness. Yet the tradition itself has never stopped searching for a middle path. Suárez’s </w:t>
      </w:r>
      <w:r w:rsidRPr="004C467E">
        <w:rPr>
          <w:rFonts w:ascii="Arial" w:eastAsiaTheme="majorEastAsia" w:hAnsi="Arial" w:cs="Arial"/>
          <w:i/>
          <w:iCs/>
          <w:sz w:val="24"/>
          <w:szCs w:val="24"/>
        </w:rPr>
        <w:t>Disputationes </w:t>
      </w:r>
      <w:proofErr w:type="spellStart"/>
      <w:r w:rsidRPr="004C467E">
        <w:rPr>
          <w:rFonts w:ascii="Arial" w:eastAsiaTheme="majorEastAsia" w:hAnsi="Arial" w:cs="Arial"/>
          <w:i/>
          <w:iCs/>
          <w:sz w:val="24"/>
          <w:szCs w:val="24"/>
        </w:rPr>
        <w:t>Metaphysicae</w:t>
      </w:r>
      <w:proofErr w:type="spellEnd"/>
      <w:r w:rsidRPr="004C467E">
        <w:rPr>
          <w:rFonts w:ascii="Arial" w:eastAsiaTheme="majorEastAsia" w:hAnsi="Arial" w:cs="Arial"/>
          <w:sz w:val="24"/>
          <w:szCs w:val="24"/>
        </w:rPr>
        <w:t xml:space="preserve"> safeguarded transcendence by defining simplicity as “the negation of all real composition,”</w:t>
      </w:r>
      <w:r w:rsidR="000E008D">
        <w:rPr>
          <w:rStyle w:val="FootnoteReference"/>
          <w:rFonts w:ascii="Arial" w:eastAsiaTheme="majorEastAsia" w:hAnsi="Arial" w:cs="Arial"/>
          <w:sz w:val="24"/>
          <w:szCs w:val="24"/>
        </w:rPr>
        <w:footnoteReference w:id="1"/>
      </w:r>
      <w:r w:rsidRPr="004C467E">
        <w:rPr>
          <w:rFonts w:ascii="Arial" w:eastAsiaTheme="majorEastAsia" w:hAnsi="Arial" w:cs="Arial"/>
          <w:sz w:val="24"/>
          <w:szCs w:val="24"/>
        </w:rPr>
        <w:t xml:space="preserve"> but he also hinted at a relational horizon when he called the divine perfections “mutually implicative.” De Lubac’s </w:t>
      </w:r>
      <w:r w:rsidRPr="004C467E">
        <w:rPr>
          <w:rFonts w:ascii="Arial" w:eastAsiaTheme="majorEastAsia" w:hAnsi="Arial" w:cs="Arial"/>
          <w:i/>
          <w:iCs/>
          <w:sz w:val="24"/>
          <w:szCs w:val="24"/>
        </w:rPr>
        <w:t>Mystery of the Supernatural</w:t>
      </w:r>
      <w:r w:rsidRPr="004C467E">
        <w:rPr>
          <w:rFonts w:ascii="Arial" w:eastAsiaTheme="majorEastAsia" w:hAnsi="Arial" w:cs="Arial"/>
          <w:sz w:val="24"/>
          <w:szCs w:val="24"/>
        </w:rPr>
        <w:t xml:space="preserve"> refused to let that grammar fossilize, insisting that the human heart is “stretched toward God by a call inscribed in its very being,”</w:t>
      </w:r>
      <w:r w:rsidR="00BF44A8">
        <w:rPr>
          <w:rStyle w:val="FootnoteReference"/>
          <w:rFonts w:ascii="Arial" w:eastAsiaTheme="majorEastAsia" w:hAnsi="Arial" w:cs="Arial"/>
          <w:sz w:val="24"/>
          <w:szCs w:val="24"/>
        </w:rPr>
        <w:footnoteReference w:id="2"/>
      </w:r>
      <w:r w:rsidRPr="004C467E">
        <w:rPr>
          <w:rFonts w:ascii="Arial" w:eastAsiaTheme="majorEastAsia" w:hAnsi="Arial" w:cs="Arial"/>
          <w:sz w:val="24"/>
          <w:szCs w:val="24"/>
        </w:rPr>
        <w:t xml:space="preserve"> welding simplicity to history and desire. Karl Rahner radicalized the point: because the human spirit is “always already oriented toward absolute mystery,”</w:t>
      </w:r>
      <w:r w:rsidR="006747F8">
        <w:rPr>
          <w:rStyle w:val="FootnoteReference"/>
          <w:rFonts w:ascii="Arial" w:eastAsiaTheme="majorEastAsia" w:hAnsi="Arial" w:cs="Arial"/>
          <w:sz w:val="24"/>
          <w:szCs w:val="24"/>
        </w:rPr>
        <w:footnoteReference w:id="3"/>
      </w:r>
      <w:r w:rsidRPr="004C467E">
        <w:rPr>
          <w:rFonts w:ascii="Arial" w:eastAsiaTheme="majorEastAsia" w:hAnsi="Arial" w:cs="Arial"/>
          <w:sz w:val="24"/>
          <w:szCs w:val="24"/>
        </w:rPr>
        <w:t xml:space="preserve"> grace is the horizon of knowing, not a detachable supplement. Each thinker presses for a synthesis of conceptual clarity and experiential overflow, yet none settles the tension once </w:t>
      </w:r>
      <w:proofErr w:type="gramStart"/>
      <w:r w:rsidRPr="004C467E">
        <w:rPr>
          <w:rFonts w:ascii="Arial" w:eastAsiaTheme="majorEastAsia" w:hAnsi="Arial" w:cs="Arial"/>
          <w:sz w:val="24"/>
          <w:szCs w:val="24"/>
        </w:rPr>
        <w:t>for</w:t>
      </w:r>
      <w:proofErr w:type="gramEnd"/>
      <w:r w:rsidRPr="004C467E">
        <w:rPr>
          <w:rFonts w:ascii="Arial" w:eastAsiaTheme="majorEastAsia" w:hAnsi="Arial" w:cs="Arial"/>
          <w:sz w:val="24"/>
          <w:szCs w:val="24"/>
        </w:rPr>
        <w:t xml:space="preserve"> all.</w:t>
      </w:r>
    </w:p>
    <w:p w14:paraId="1AE089EF" w14:textId="1CD8E11F" w:rsidR="004C467E" w:rsidRPr="004C467E" w:rsidRDefault="004C467E" w:rsidP="004C467E">
      <w:pPr>
        <w:rPr>
          <w:rFonts w:ascii="Arial" w:eastAsiaTheme="majorEastAsia" w:hAnsi="Arial" w:cs="Arial"/>
          <w:sz w:val="24"/>
          <w:szCs w:val="24"/>
        </w:rPr>
      </w:pPr>
      <w:r w:rsidRPr="004C467E">
        <w:rPr>
          <w:rFonts w:ascii="Arial" w:eastAsiaTheme="majorEastAsia" w:hAnsi="Arial" w:cs="Arial"/>
          <w:sz w:val="24"/>
          <w:szCs w:val="24"/>
        </w:rPr>
        <w:t>Jean</w:t>
      </w:r>
      <w:r w:rsidRPr="004C467E">
        <w:rPr>
          <w:rFonts w:ascii="Arial" w:eastAsiaTheme="majorEastAsia" w:hAnsi="Arial" w:cs="Arial"/>
          <w:sz w:val="24"/>
          <w:szCs w:val="24"/>
        </w:rPr>
        <w:noBreakHyphen/>
        <w:t>Luc Marion’s phenomenology enters this ongoing conversation as a helpful and surprising interlocutor. His account of the saturated phenomenon</w:t>
      </w:r>
      <w:r w:rsidR="00FB2532">
        <w:rPr>
          <w:rFonts w:ascii="Arial" w:eastAsiaTheme="majorEastAsia" w:hAnsi="Arial" w:cs="Arial"/>
          <w:sz w:val="24"/>
          <w:szCs w:val="24"/>
        </w:rPr>
        <w:t xml:space="preserve">, </w:t>
      </w:r>
      <w:r w:rsidRPr="004C467E">
        <w:rPr>
          <w:rFonts w:ascii="Arial" w:eastAsiaTheme="majorEastAsia" w:hAnsi="Arial" w:cs="Arial"/>
          <w:sz w:val="24"/>
          <w:szCs w:val="24"/>
        </w:rPr>
        <w:t xml:space="preserve">above all the </w:t>
      </w:r>
      <w:r w:rsidRPr="004C467E">
        <w:rPr>
          <w:rFonts w:ascii="Arial" w:eastAsiaTheme="majorEastAsia" w:hAnsi="Arial" w:cs="Arial"/>
          <w:i/>
          <w:iCs/>
          <w:sz w:val="24"/>
          <w:szCs w:val="24"/>
        </w:rPr>
        <w:t>icon</w:t>
      </w:r>
      <w:r w:rsidRPr="004C467E">
        <w:rPr>
          <w:rFonts w:ascii="Arial" w:eastAsiaTheme="majorEastAsia" w:hAnsi="Arial" w:cs="Arial"/>
          <w:sz w:val="24"/>
          <w:szCs w:val="24"/>
        </w:rPr>
        <w:t xml:space="preserve"> of Christ</w:t>
      </w:r>
      <w:r w:rsidR="00FB2532">
        <w:rPr>
          <w:rFonts w:ascii="Arial" w:eastAsiaTheme="majorEastAsia" w:hAnsi="Arial" w:cs="Arial"/>
          <w:sz w:val="24"/>
          <w:szCs w:val="24"/>
        </w:rPr>
        <w:t xml:space="preserve">, </w:t>
      </w:r>
      <w:r w:rsidRPr="004C467E">
        <w:rPr>
          <w:rFonts w:ascii="Arial" w:eastAsiaTheme="majorEastAsia" w:hAnsi="Arial" w:cs="Arial"/>
          <w:sz w:val="24"/>
          <w:szCs w:val="24"/>
        </w:rPr>
        <w:t xml:space="preserve">shows why revelation must be received as event: it comes “only as much as it is received, yet always gives more.” Against the static tradition he insists that divine manifestation exceeds every concept; against Kant he insists that </w:t>
      </w:r>
      <w:proofErr w:type="gramStart"/>
      <w:r w:rsidRPr="004C467E">
        <w:rPr>
          <w:rFonts w:ascii="Arial" w:eastAsiaTheme="majorEastAsia" w:hAnsi="Arial" w:cs="Arial"/>
          <w:sz w:val="24"/>
          <w:szCs w:val="24"/>
        </w:rPr>
        <w:t>the excess</w:t>
      </w:r>
      <w:proofErr w:type="gramEnd"/>
      <w:r w:rsidRPr="004C467E">
        <w:rPr>
          <w:rFonts w:ascii="Arial" w:eastAsiaTheme="majorEastAsia" w:hAnsi="Arial" w:cs="Arial"/>
          <w:sz w:val="24"/>
          <w:szCs w:val="24"/>
        </w:rPr>
        <w:t xml:space="preserve"> nevertheless shows itself. Cyril O’Regan captures the significance of this turn: Marion’s icon, he writes, “breaks into and corrugates the phenomenal field and stretches the self.”</w:t>
      </w:r>
      <w:r w:rsidR="006747F8">
        <w:rPr>
          <w:rStyle w:val="FootnoteReference"/>
          <w:rFonts w:ascii="Arial" w:eastAsiaTheme="majorEastAsia" w:hAnsi="Arial" w:cs="Arial"/>
          <w:sz w:val="24"/>
          <w:szCs w:val="24"/>
        </w:rPr>
        <w:footnoteReference w:id="4"/>
      </w:r>
      <w:r w:rsidRPr="004C467E">
        <w:rPr>
          <w:rFonts w:ascii="Arial" w:eastAsiaTheme="majorEastAsia" w:hAnsi="Arial" w:cs="Arial"/>
          <w:sz w:val="24"/>
          <w:szCs w:val="24"/>
        </w:rPr>
        <w:t> Yet phenomenology alone cannot finish the task. </w:t>
      </w:r>
      <w:proofErr w:type="gramStart"/>
      <w:r w:rsidRPr="004C467E">
        <w:rPr>
          <w:rFonts w:ascii="Arial" w:eastAsiaTheme="majorEastAsia" w:hAnsi="Arial" w:cs="Arial"/>
          <w:sz w:val="24"/>
          <w:szCs w:val="24"/>
        </w:rPr>
        <w:t>Gift</w:t>
      </w:r>
      <w:proofErr w:type="gramEnd"/>
      <w:r w:rsidRPr="004C467E">
        <w:rPr>
          <w:rFonts w:ascii="Arial" w:eastAsiaTheme="majorEastAsia" w:hAnsi="Arial" w:cs="Arial"/>
          <w:sz w:val="24"/>
          <w:szCs w:val="24"/>
        </w:rPr>
        <w:t xml:space="preserve"> </w:t>
      </w:r>
      <w:proofErr w:type="gramStart"/>
      <w:r w:rsidRPr="004C467E">
        <w:rPr>
          <w:rFonts w:ascii="Arial" w:eastAsiaTheme="majorEastAsia" w:hAnsi="Arial" w:cs="Arial"/>
          <w:sz w:val="24"/>
          <w:szCs w:val="24"/>
        </w:rPr>
        <w:t>needs</w:t>
      </w:r>
      <w:proofErr w:type="gramEnd"/>
      <w:r w:rsidRPr="004C467E">
        <w:rPr>
          <w:rFonts w:ascii="Arial" w:eastAsiaTheme="majorEastAsia" w:hAnsi="Arial" w:cs="Arial"/>
          <w:sz w:val="24"/>
          <w:szCs w:val="24"/>
        </w:rPr>
        <w:t xml:space="preserve"> grammar. How can theology honor excess and achieve doctrinal precision</w:t>
      </w:r>
      <w:r w:rsidR="00FB2532">
        <w:rPr>
          <w:rFonts w:ascii="Arial" w:eastAsiaTheme="majorEastAsia" w:hAnsi="Arial" w:cs="Arial"/>
          <w:sz w:val="24"/>
          <w:szCs w:val="24"/>
        </w:rPr>
        <w:t xml:space="preserve">, </w:t>
      </w:r>
      <w:r w:rsidRPr="004C467E">
        <w:rPr>
          <w:rFonts w:ascii="Arial" w:eastAsiaTheme="majorEastAsia" w:hAnsi="Arial" w:cs="Arial"/>
          <w:sz w:val="24"/>
          <w:szCs w:val="24"/>
        </w:rPr>
        <w:t>here, a renewed account of divine simplicity</w:t>
      </w:r>
      <w:r w:rsidR="00FB2532">
        <w:rPr>
          <w:rFonts w:ascii="Arial" w:eastAsiaTheme="majorEastAsia" w:hAnsi="Arial" w:cs="Arial"/>
          <w:sz w:val="24"/>
          <w:szCs w:val="24"/>
        </w:rPr>
        <w:t xml:space="preserve">, </w:t>
      </w:r>
      <w:r w:rsidRPr="004C467E">
        <w:rPr>
          <w:rFonts w:ascii="Arial" w:eastAsiaTheme="majorEastAsia" w:hAnsi="Arial" w:cs="Arial"/>
          <w:sz w:val="24"/>
          <w:szCs w:val="24"/>
        </w:rPr>
        <w:t xml:space="preserve">without retreating to </w:t>
      </w:r>
      <w:proofErr w:type="gramStart"/>
      <w:r w:rsidRPr="004C467E">
        <w:rPr>
          <w:rFonts w:ascii="Arial" w:eastAsiaTheme="majorEastAsia" w:hAnsi="Arial" w:cs="Arial"/>
          <w:sz w:val="24"/>
          <w:szCs w:val="24"/>
        </w:rPr>
        <w:t>either cul</w:t>
      </w:r>
      <w:proofErr w:type="gramEnd"/>
      <w:r w:rsidRPr="004C467E">
        <w:rPr>
          <w:rFonts w:ascii="Arial" w:eastAsiaTheme="majorEastAsia" w:hAnsi="Arial" w:cs="Arial"/>
          <w:sz w:val="24"/>
          <w:szCs w:val="24"/>
        </w:rPr>
        <w:noBreakHyphen/>
        <w:t>de</w:t>
      </w:r>
      <w:r w:rsidRPr="004C467E">
        <w:rPr>
          <w:rFonts w:ascii="Arial" w:eastAsiaTheme="majorEastAsia" w:hAnsi="Arial" w:cs="Arial"/>
          <w:sz w:val="24"/>
          <w:szCs w:val="24"/>
        </w:rPr>
        <w:noBreakHyphen/>
        <w:t>sac?</w:t>
      </w:r>
    </w:p>
    <w:p w14:paraId="33184AE0" w14:textId="5976A25B" w:rsidR="004C467E" w:rsidRPr="004C467E" w:rsidRDefault="004C467E" w:rsidP="004C467E">
      <w:pPr>
        <w:rPr>
          <w:rFonts w:ascii="Arial" w:eastAsiaTheme="majorEastAsia" w:hAnsi="Arial" w:cs="Arial"/>
          <w:sz w:val="24"/>
          <w:szCs w:val="24"/>
        </w:rPr>
      </w:pPr>
      <w:proofErr w:type="gramStart"/>
      <w:r w:rsidRPr="004C467E">
        <w:rPr>
          <w:rFonts w:ascii="Arial" w:eastAsiaTheme="majorEastAsia" w:hAnsi="Arial" w:cs="Arial"/>
          <w:sz w:val="24"/>
          <w:szCs w:val="24"/>
        </w:rPr>
        <w:t>A three</w:t>
      </w:r>
      <w:r w:rsidRPr="004C467E">
        <w:rPr>
          <w:rFonts w:ascii="Arial" w:eastAsiaTheme="majorEastAsia" w:hAnsi="Arial" w:cs="Arial"/>
          <w:sz w:val="24"/>
          <w:szCs w:val="24"/>
        </w:rPr>
        <w:noBreakHyphen/>
        <w:t xml:space="preserve">stranded </w:t>
      </w:r>
      <w:r w:rsidRPr="004C467E">
        <w:rPr>
          <w:rFonts w:ascii="Arial" w:eastAsiaTheme="majorEastAsia" w:hAnsi="Arial" w:cs="Arial"/>
          <w:i/>
          <w:iCs/>
          <w:sz w:val="24"/>
          <w:szCs w:val="24"/>
        </w:rPr>
        <w:t>relational hermeneutic</w:t>
      </w:r>
      <w:r w:rsidRPr="004C467E">
        <w:rPr>
          <w:rFonts w:ascii="Arial" w:eastAsiaTheme="majorEastAsia" w:hAnsi="Arial" w:cs="Arial"/>
          <w:sz w:val="24"/>
          <w:szCs w:val="24"/>
        </w:rPr>
        <w:t xml:space="preserve"> supplies</w:t>
      </w:r>
      <w:proofErr w:type="gramEnd"/>
      <w:r w:rsidRPr="004C467E">
        <w:rPr>
          <w:rFonts w:ascii="Arial" w:eastAsiaTheme="majorEastAsia" w:hAnsi="Arial" w:cs="Arial"/>
          <w:sz w:val="24"/>
          <w:szCs w:val="24"/>
        </w:rPr>
        <w:t xml:space="preserve"> the answer. First comes O’Regan’s own “rule of vision,” a disciplined gaze learned from Augustine’s </w:t>
      </w:r>
      <w:proofErr w:type="spellStart"/>
      <w:r w:rsidRPr="004C467E">
        <w:rPr>
          <w:rFonts w:ascii="Arial" w:eastAsiaTheme="majorEastAsia" w:hAnsi="Arial" w:cs="Arial"/>
          <w:i/>
          <w:iCs/>
          <w:sz w:val="24"/>
          <w:szCs w:val="24"/>
        </w:rPr>
        <w:t>relatio</w:t>
      </w:r>
      <w:proofErr w:type="spellEnd"/>
      <w:r w:rsidRPr="004C467E">
        <w:rPr>
          <w:rFonts w:ascii="Arial" w:eastAsiaTheme="majorEastAsia" w:hAnsi="Arial" w:cs="Arial"/>
          <w:i/>
          <w:iCs/>
          <w:sz w:val="24"/>
          <w:szCs w:val="24"/>
        </w:rPr>
        <w:t xml:space="preserve"> </w:t>
      </w:r>
      <w:proofErr w:type="spellStart"/>
      <w:r w:rsidRPr="004C467E">
        <w:rPr>
          <w:rFonts w:ascii="Arial" w:eastAsiaTheme="majorEastAsia" w:hAnsi="Arial" w:cs="Arial"/>
          <w:i/>
          <w:iCs/>
          <w:sz w:val="24"/>
          <w:szCs w:val="24"/>
        </w:rPr>
        <w:t>subsistens</w:t>
      </w:r>
      <w:proofErr w:type="spellEnd"/>
      <w:r w:rsidRPr="004C467E">
        <w:rPr>
          <w:rFonts w:ascii="Arial" w:eastAsiaTheme="majorEastAsia" w:hAnsi="Arial" w:cs="Arial"/>
          <w:sz w:val="24"/>
          <w:szCs w:val="24"/>
        </w:rPr>
        <w:t xml:space="preserve"> that keeps phenomenology tethered to dogma; phenomenology, he argues, can “open out to theology without fear of confounding two discourses that have each their own protocols and limits.”</w:t>
      </w:r>
      <w:r w:rsidR="009B4D9C">
        <w:rPr>
          <w:rStyle w:val="FootnoteReference"/>
          <w:rFonts w:ascii="Arial" w:eastAsiaTheme="majorEastAsia" w:hAnsi="Arial" w:cs="Arial"/>
          <w:sz w:val="24"/>
          <w:szCs w:val="24"/>
        </w:rPr>
        <w:footnoteReference w:id="5"/>
      </w:r>
      <w:r w:rsidRPr="004C467E">
        <w:rPr>
          <w:rFonts w:ascii="Arial" w:eastAsiaTheme="majorEastAsia" w:hAnsi="Arial" w:cs="Arial"/>
          <w:sz w:val="24"/>
          <w:szCs w:val="24"/>
        </w:rPr>
        <w:t xml:space="preserve"> Continuity alone, however, can ossify into possession. Robyn Horner </w:t>
      </w:r>
      <w:r w:rsidRPr="004C467E">
        <w:rPr>
          <w:rFonts w:ascii="Arial" w:eastAsiaTheme="majorEastAsia" w:hAnsi="Arial" w:cs="Arial"/>
          <w:sz w:val="24"/>
          <w:szCs w:val="24"/>
        </w:rPr>
        <w:lastRenderedPageBreak/>
        <w:t xml:space="preserve">therefore introduces a </w:t>
      </w:r>
      <w:r w:rsidRPr="004C467E">
        <w:rPr>
          <w:rFonts w:ascii="Arial" w:eastAsiaTheme="majorEastAsia" w:hAnsi="Arial" w:cs="Arial"/>
          <w:i/>
          <w:iCs/>
          <w:sz w:val="24"/>
          <w:szCs w:val="24"/>
        </w:rPr>
        <w:t>kenotic safeguard</w:t>
      </w:r>
      <w:r w:rsidRPr="004C467E">
        <w:rPr>
          <w:rFonts w:ascii="Arial" w:eastAsiaTheme="majorEastAsia" w:hAnsi="Arial" w:cs="Arial"/>
          <w:sz w:val="24"/>
          <w:szCs w:val="24"/>
        </w:rPr>
        <w:t>: “God is for the world giver, gift and giving, a trinity of self</w:t>
      </w:r>
      <w:r w:rsidRPr="004C467E">
        <w:rPr>
          <w:rFonts w:ascii="Arial" w:eastAsiaTheme="majorEastAsia" w:hAnsi="Arial" w:cs="Arial"/>
          <w:sz w:val="24"/>
          <w:szCs w:val="24"/>
        </w:rPr>
        <w:noBreakHyphen/>
        <w:t>emptying love who is beyond all imagining, and in this gift what seems like an impossible relationship is made possible.”</w:t>
      </w:r>
      <w:r w:rsidR="009B4D9C">
        <w:rPr>
          <w:rStyle w:val="FootnoteReference"/>
          <w:rFonts w:ascii="Arial" w:eastAsiaTheme="majorEastAsia" w:hAnsi="Arial" w:cs="Arial"/>
          <w:sz w:val="24"/>
          <w:szCs w:val="24"/>
        </w:rPr>
        <w:footnoteReference w:id="6"/>
      </w:r>
      <w:r w:rsidRPr="004C467E">
        <w:rPr>
          <w:rFonts w:ascii="Arial" w:eastAsiaTheme="majorEastAsia" w:hAnsi="Arial" w:cs="Arial"/>
          <w:sz w:val="24"/>
          <w:szCs w:val="24"/>
        </w:rPr>
        <w:t> Because every reception risks turning the gift into property, authentic recognition “must pass through forgetting,”</w:t>
      </w:r>
      <w:r w:rsidR="009B4D9C">
        <w:rPr>
          <w:rStyle w:val="FootnoteReference"/>
          <w:rFonts w:ascii="Arial" w:eastAsiaTheme="majorEastAsia" w:hAnsi="Arial" w:cs="Arial"/>
          <w:sz w:val="24"/>
          <w:szCs w:val="24"/>
        </w:rPr>
        <w:footnoteReference w:id="7"/>
      </w:r>
      <w:r w:rsidRPr="004C467E">
        <w:rPr>
          <w:rFonts w:ascii="Arial" w:eastAsiaTheme="majorEastAsia" w:hAnsi="Arial" w:cs="Arial"/>
          <w:sz w:val="24"/>
          <w:szCs w:val="24"/>
        </w:rPr>
        <w:t xml:space="preserve"> a dispossession that keeps the icon from solidifying into an idol.</w:t>
      </w:r>
    </w:p>
    <w:p w14:paraId="45FD3DEE" w14:textId="77777777" w:rsidR="004C467E" w:rsidRPr="004C467E" w:rsidRDefault="004C467E" w:rsidP="004C467E">
      <w:pPr>
        <w:rPr>
          <w:rFonts w:ascii="Arial" w:eastAsiaTheme="majorEastAsia" w:hAnsi="Arial" w:cs="Arial"/>
          <w:sz w:val="24"/>
          <w:szCs w:val="24"/>
        </w:rPr>
      </w:pPr>
      <w:r w:rsidRPr="004C467E">
        <w:rPr>
          <w:rFonts w:ascii="Arial" w:eastAsiaTheme="majorEastAsia" w:hAnsi="Arial" w:cs="Arial"/>
          <w:sz w:val="24"/>
          <w:szCs w:val="24"/>
        </w:rPr>
        <w:t>To hold continuity and excess together without collapse, Hans </w:t>
      </w:r>
      <w:proofErr w:type="spellStart"/>
      <w:r w:rsidRPr="004C467E">
        <w:rPr>
          <w:rFonts w:ascii="Arial" w:eastAsiaTheme="majorEastAsia" w:hAnsi="Arial" w:cs="Arial"/>
          <w:sz w:val="24"/>
          <w:szCs w:val="24"/>
        </w:rPr>
        <w:t>Urs</w:t>
      </w:r>
      <w:proofErr w:type="spellEnd"/>
      <w:r w:rsidRPr="004C467E">
        <w:rPr>
          <w:rFonts w:ascii="Arial" w:eastAsiaTheme="majorEastAsia" w:hAnsi="Arial" w:cs="Arial"/>
          <w:sz w:val="24"/>
          <w:szCs w:val="24"/>
        </w:rPr>
        <w:t xml:space="preserve"> von Balthasar supplies an aesthetic distance. Beauty, he insists, is </w:t>
      </w:r>
      <w:r w:rsidRPr="004C467E">
        <w:rPr>
          <w:rFonts w:ascii="Arial" w:eastAsiaTheme="majorEastAsia" w:hAnsi="Arial" w:cs="Arial"/>
          <w:i/>
          <w:iCs/>
          <w:sz w:val="24"/>
          <w:szCs w:val="24"/>
        </w:rPr>
        <w:t xml:space="preserve">splendor </w:t>
      </w:r>
      <w:proofErr w:type="spellStart"/>
      <w:r w:rsidRPr="004C467E">
        <w:rPr>
          <w:rFonts w:ascii="Arial" w:eastAsiaTheme="majorEastAsia" w:hAnsi="Arial" w:cs="Arial"/>
          <w:i/>
          <w:iCs/>
          <w:sz w:val="24"/>
          <w:szCs w:val="24"/>
        </w:rPr>
        <w:t>veritatis</w:t>
      </w:r>
      <w:proofErr w:type="spellEnd"/>
      <w:r w:rsidRPr="004C467E">
        <w:rPr>
          <w:rFonts w:ascii="Arial" w:eastAsiaTheme="majorEastAsia" w:hAnsi="Arial" w:cs="Arial"/>
          <w:sz w:val="24"/>
          <w:szCs w:val="24"/>
        </w:rPr>
        <w:t>: form that both reveals and conceals surplus. His portrait of the Holy Spirit as the unseen “off</w:t>
      </w:r>
      <w:r w:rsidRPr="004C467E">
        <w:rPr>
          <w:rFonts w:ascii="Arial" w:eastAsiaTheme="majorEastAsia" w:hAnsi="Arial" w:cs="Arial"/>
          <w:sz w:val="24"/>
          <w:szCs w:val="24"/>
        </w:rPr>
        <w:noBreakHyphen/>
        <w:t>stage director” of the Theo</w:t>
      </w:r>
      <w:r w:rsidRPr="004C467E">
        <w:rPr>
          <w:rFonts w:ascii="Arial" w:eastAsiaTheme="majorEastAsia" w:hAnsi="Arial" w:cs="Arial"/>
          <w:sz w:val="24"/>
          <w:szCs w:val="24"/>
        </w:rPr>
        <w:noBreakHyphen/>
        <w:t>Drama grants space for donation to remain dramatic rather than static. Distance is not a buffer that keeps God aloof; it is the luminous interval that lets gift be gift instead of absorption.</w:t>
      </w:r>
    </w:p>
    <w:p w14:paraId="1F3DA30A" w14:textId="575DFF55" w:rsidR="004C467E" w:rsidRPr="004C467E" w:rsidRDefault="004C467E" w:rsidP="004C467E">
      <w:pPr>
        <w:rPr>
          <w:rFonts w:ascii="Arial" w:eastAsiaTheme="majorEastAsia" w:hAnsi="Arial" w:cs="Arial"/>
          <w:sz w:val="24"/>
          <w:szCs w:val="24"/>
        </w:rPr>
      </w:pPr>
      <w:r w:rsidRPr="004C467E">
        <w:rPr>
          <w:rFonts w:ascii="Arial" w:eastAsiaTheme="majorEastAsia" w:hAnsi="Arial" w:cs="Arial"/>
          <w:sz w:val="24"/>
          <w:szCs w:val="24"/>
        </w:rPr>
        <w:t>Braided together</w:t>
      </w:r>
      <w:r w:rsidR="00FB2532">
        <w:rPr>
          <w:rFonts w:ascii="Arial" w:eastAsiaTheme="majorEastAsia" w:hAnsi="Arial" w:cs="Arial"/>
          <w:sz w:val="24"/>
          <w:szCs w:val="24"/>
        </w:rPr>
        <w:t xml:space="preserve">, </w:t>
      </w:r>
      <w:r w:rsidRPr="004C467E">
        <w:rPr>
          <w:rFonts w:ascii="Arial" w:eastAsiaTheme="majorEastAsia" w:hAnsi="Arial" w:cs="Arial"/>
          <w:sz w:val="24"/>
          <w:szCs w:val="24"/>
        </w:rPr>
        <w:t>rule, safeguard, distance</w:t>
      </w:r>
      <w:r w:rsidR="00FB2532">
        <w:rPr>
          <w:rFonts w:ascii="Arial" w:eastAsiaTheme="majorEastAsia" w:hAnsi="Arial" w:cs="Arial"/>
          <w:sz w:val="24"/>
          <w:szCs w:val="24"/>
        </w:rPr>
        <w:t xml:space="preserve">, </w:t>
      </w:r>
      <w:r w:rsidRPr="004C467E">
        <w:rPr>
          <w:rFonts w:ascii="Arial" w:eastAsiaTheme="majorEastAsia" w:hAnsi="Arial" w:cs="Arial"/>
          <w:sz w:val="24"/>
          <w:szCs w:val="24"/>
        </w:rPr>
        <w:t>these insights generate a hermeneutical spiral: remember, receive, relinquish, remember deeper. The spiral honors the gains of Suárez, de Lubac, and Rahner while letting Marion’s phenomenology enrich them. Within this framework, simplicity can be re</w:t>
      </w:r>
      <w:r w:rsidRPr="004C467E">
        <w:rPr>
          <w:rFonts w:ascii="Arial" w:eastAsiaTheme="majorEastAsia" w:hAnsi="Arial" w:cs="Arial"/>
          <w:sz w:val="24"/>
          <w:szCs w:val="24"/>
        </w:rPr>
        <w:noBreakHyphen/>
        <w:t>voiced as actus </w:t>
      </w:r>
      <w:proofErr w:type="spellStart"/>
      <w:r w:rsidRPr="004C467E">
        <w:rPr>
          <w:rFonts w:ascii="Arial" w:eastAsiaTheme="majorEastAsia" w:hAnsi="Arial" w:cs="Arial"/>
          <w:sz w:val="24"/>
          <w:szCs w:val="24"/>
        </w:rPr>
        <w:t>donandi</w:t>
      </w:r>
      <w:proofErr w:type="spellEnd"/>
      <w:r w:rsidRPr="004C467E">
        <w:rPr>
          <w:rFonts w:ascii="Arial" w:eastAsiaTheme="majorEastAsia" w:hAnsi="Arial" w:cs="Arial"/>
          <w:sz w:val="24"/>
          <w:szCs w:val="24"/>
        </w:rPr>
        <w:t>, the inseparable circulation of Trinitarian self</w:t>
      </w:r>
      <w:r w:rsidRPr="004C467E">
        <w:rPr>
          <w:rFonts w:ascii="Arial" w:eastAsiaTheme="majorEastAsia" w:hAnsi="Arial" w:cs="Arial"/>
          <w:sz w:val="24"/>
          <w:szCs w:val="24"/>
        </w:rPr>
        <w:noBreakHyphen/>
        <w:t xml:space="preserve">gift. John 17’s “all </w:t>
      </w:r>
      <w:proofErr w:type="gramStart"/>
      <w:r w:rsidRPr="004C467E">
        <w:rPr>
          <w:rFonts w:ascii="Arial" w:eastAsiaTheme="majorEastAsia" w:hAnsi="Arial" w:cs="Arial"/>
          <w:sz w:val="24"/>
          <w:szCs w:val="24"/>
        </w:rPr>
        <w:t>mine</w:t>
      </w:r>
      <w:proofErr w:type="gramEnd"/>
      <w:r w:rsidRPr="004C467E">
        <w:rPr>
          <w:rFonts w:ascii="Arial" w:eastAsiaTheme="majorEastAsia" w:hAnsi="Arial" w:cs="Arial"/>
          <w:sz w:val="24"/>
          <w:szCs w:val="24"/>
        </w:rPr>
        <w:t xml:space="preserve"> are thine” becomes the biblical cipher: mutual dispossession, not static identity, grounds unity. Augustine already intuited the point when he described the Spirit as </w:t>
      </w:r>
      <w:r w:rsidRPr="004C467E">
        <w:rPr>
          <w:rFonts w:ascii="Arial" w:eastAsiaTheme="majorEastAsia" w:hAnsi="Arial" w:cs="Arial"/>
          <w:i/>
          <w:iCs/>
          <w:sz w:val="24"/>
          <w:szCs w:val="24"/>
        </w:rPr>
        <w:t xml:space="preserve">donum </w:t>
      </w:r>
      <w:proofErr w:type="spellStart"/>
      <w:r w:rsidRPr="004C467E">
        <w:rPr>
          <w:rFonts w:ascii="Arial" w:eastAsiaTheme="majorEastAsia" w:hAnsi="Arial" w:cs="Arial"/>
          <w:i/>
          <w:iCs/>
          <w:sz w:val="24"/>
          <w:szCs w:val="24"/>
        </w:rPr>
        <w:t>donans</w:t>
      </w:r>
      <w:proofErr w:type="spellEnd"/>
      <w:r w:rsidRPr="004C467E">
        <w:rPr>
          <w:rFonts w:ascii="Arial" w:eastAsiaTheme="majorEastAsia" w:hAnsi="Arial" w:cs="Arial"/>
          <w:sz w:val="24"/>
          <w:szCs w:val="24"/>
        </w:rPr>
        <w:t>, “both the gift of the giver and the giver of the gift.”</w:t>
      </w:r>
      <w:r w:rsidR="009B4D9C">
        <w:rPr>
          <w:rStyle w:val="FootnoteReference"/>
          <w:rFonts w:ascii="Arial" w:eastAsiaTheme="majorEastAsia" w:hAnsi="Arial" w:cs="Arial"/>
          <w:sz w:val="24"/>
          <w:szCs w:val="24"/>
        </w:rPr>
        <w:footnoteReference w:id="8"/>
      </w:r>
      <w:r w:rsidRPr="004C467E">
        <w:rPr>
          <w:rFonts w:ascii="Arial" w:eastAsiaTheme="majorEastAsia" w:hAnsi="Arial" w:cs="Arial"/>
          <w:sz w:val="24"/>
          <w:szCs w:val="24"/>
        </w:rPr>
        <w:t> In Marion’s vocabulary, simplicity is the infinite capacity to let love saturate without remainder.</w:t>
      </w:r>
    </w:p>
    <w:p w14:paraId="1AA4665D" w14:textId="3D3ACC99" w:rsidR="004C467E" w:rsidRPr="004C467E" w:rsidRDefault="004C467E" w:rsidP="004C467E">
      <w:pPr>
        <w:rPr>
          <w:rFonts w:ascii="Arial" w:eastAsiaTheme="majorEastAsia" w:hAnsi="Arial" w:cs="Arial"/>
          <w:sz w:val="24"/>
          <w:szCs w:val="24"/>
        </w:rPr>
      </w:pPr>
      <w:r w:rsidRPr="004C467E">
        <w:rPr>
          <w:rFonts w:ascii="Arial" w:eastAsiaTheme="majorEastAsia" w:hAnsi="Arial" w:cs="Arial"/>
          <w:sz w:val="24"/>
          <w:szCs w:val="24"/>
        </w:rPr>
        <w:t>This reframing speaks directly to today’s controversy. Rigorous Thomists fear that relational language erodes immutability; process</w:t>
      </w:r>
      <w:r w:rsidRPr="004C467E">
        <w:rPr>
          <w:rFonts w:ascii="Arial" w:eastAsiaTheme="majorEastAsia" w:hAnsi="Arial" w:cs="Arial"/>
          <w:sz w:val="24"/>
          <w:szCs w:val="24"/>
        </w:rPr>
        <w:noBreakHyphen/>
        <w:t>leaning revisionists abandon simplicity for love’s sake. </w:t>
      </w:r>
      <w:r w:rsidRPr="004C467E">
        <w:rPr>
          <w:rFonts w:ascii="Arial" w:eastAsiaTheme="majorEastAsia" w:hAnsi="Arial" w:cs="Arial"/>
          <w:i/>
          <w:iCs/>
          <w:sz w:val="24"/>
          <w:szCs w:val="24"/>
        </w:rPr>
        <w:t>Actus </w:t>
      </w:r>
      <w:proofErr w:type="spellStart"/>
      <w:r w:rsidRPr="004C467E">
        <w:rPr>
          <w:rFonts w:ascii="Arial" w:eastAsiaTheme="majorEastAsia" w:hAnsi="Arial" w:cs="Arial"/>
          <w:i/>
          <w:iCs/>
          <w:sz w:val="24"/>
          <w:szCs w:val="24"/>
        </w:rPr>
        <w:t>donandi</w:t>
      </w:r>
      <w:proofErr w:type="spellEnd"/>
      <w:r w:rsidRPr="004C467E">
        <w:rPr>
          <w:rFonts w:ascii="Arial" w:eastAsiaTheme="majorEastAsia" w:hAnsi="Arial" w:cs="Arial"/>
          <w:sz w:val="24"/>
          <w:szCs w:val="24"/>
        </w:rPr>
        <w:t xml:space="preserve"> affirms the Thomistic intuition (no parts, no becoming) while answering revisionist desires for divine dynamism by locating all “change” on the side of reception, not in God. Derrida, meanwhile, remains on stage only where Horner explicitly leans on him</w:t>
      </w:r>
      <w:r w:rsidR="00FB2532">
        <w:rPr>
          <w:rFonts w:ascii="Arial" w:eastAsiaTheme="majorEastAsia" w:hAnsi="Arial" w:cs="Arial"/>
          <w:sz w:val="24"/>
          <w:szCs w:val="24"/>
        </w:rPr>
        <w:t xml:space="preserve">, </w:t>
      </w:r>
      <w:r w:rsidRPr="004C467E">
        <w:rPr>
          <w:rFonts w:ascii="Arial" w:eastAsiaTheme="majorEastAsia" w:hAnsi="Arial" w:cs="Arial"/>
          <w:sz w:val="24"/>
          <w:szCs w:val="24"/>
        </w:rPr>
        <w:t>the aporetic logic of the</w:t>
      </w:r>
      <w:r w:rsidR="002E5582">
        <w:rPr>
          <w:rFonts w:ascii="Arial" w:eastAsiaTheme="majorEastAsia" w:hAnsi="Arial" w:cs="Arial"/>
          <w:sz w:val="24"/>
          <w:szCs w:val="24"/>
        </w:rPr>
        <w:t xml:space="preserve">                                                                                                                                                                                                                                                                                                                                                                                                                                                                                          </w:t>
      </w:r>
      <w:r w:rsidRPr="004C467E">
        <w:rPr>
          <w:rFonts w:ascii="Arial" w:eastAsiaTheme="majorEastAsia" w:hAnsi="Arial" w:cs="Arial"/>
          <w:sz w:val="24"/>
          <w:szCs w:val="24"/>
        </w:rPr>
        <w:t xml:space="preserve"> gift sharpens the safeguard but does not set the agenda.</w:t>
      </w:r>
    </w:p>
    <w:p w14:paraId="2FF7CC50" w14:textId="4EAA247A" w:rsidR="004C467E" w:rsidRPr="004C467E" w:rsidRDefault="004C467E" w:rsidP="004C467E">
      <w:pPr>
        <w:rPr>
          <w:rFonts w:ascii="Arial" w:eastAsiaTheme="majorEastAsia" w:hAnsi="Arial" w:cs="Arial"/>
          <w:sz w:val="24"/>
          <w:szCs w:val="24"/>
        </w:rPr>
      </w:pPr>
      <w:r w:rsidRPr="004C467E">
        <w:rPr>
          <w:rFonts w:ascii="Arial" w:eastAsiaTheme="majorEastAsia" w:hAnsi="Arial" w:cs="Arial"/>
          <w:sz w:val="24"/>
          <w:szCs w:val="24"/>
        </w:rPr>
        <w:t>In sum, the problem is the twin impasse; the tools are Marion plus a relational hermeneutic forged from O’Regan, Horner, and Balthasar; the payoff is a sharper doctrine of simplicity</w:t>
      </w:r>
      <w:r w:rsidR="00FB2532">
        <w:rPr>
          <w:rFonts w:ascii="Arial" w:eastAsiaTheme="majorEastAsia" w:hAnsi="Arial" w:cs="Arial"/>
          <w:sz w:val="24"/>
          <w:szCs w:val="24"/>
        </w:rPr>
        <w:t xml:space="preserve">, </w:t>
      </w:r>
      <w:r w:rsidRPr="004C467E">
        <w:rPr>
          <w:rFonts w:ascii="Arial" w:eastAsiaTheme="majorEastAsia" w:hAnsi="Arial" w:cs="Arial"/>
          <w:sz w:val="24"/>
          <w:szCs w:val="24"/>
        </w:rPr>
        <w:t>simplicity as actus </w:t>
      </w:r>
      <w:proofErr w:type="spellStart"/>
      <w:r w:rsidRPr="004C467E">
        <w:rPr>
          <w:rFonts w:ascii="Arial" w:eastAsiaTheme="majorEastAsia" w:hAnsi="Arial" w:cs="Arial"/>
          <w:sz w:val="24"/>
          <w:szCs w:val="24"/>
        </w:rPr>
        <w:t>donandi</w:t>
      </w:r>
      <w:proofErr w:type="spellEnd"/>
      <w:r w:rsidR="00FB2532">
        <w:rPr>
          <w:rFonts w:ascii="Arial" w:eastAsiaTheme="majorEastAsia" w:hAnsi="Arial" w:cs="Arial"/>
          <w:sz w:val="24"/>
          <w:szCs w:val="24"/>
        </w:rPr>
        <w:t xml:space="preserve">, </w:t>
      </w:r>
      <w:r w:rsidRPr="004C467E">
        <w:rPr>
          <w:rFonts w:ascii="Arial" w:eastAsiaTheme="majorEastAsia" w:hAnsi="Arial" w:cs="Arial"/>
          <w:sz w:val="24"/>
          <w:szCs w:val="24"/>
        </w:rPr>
        <w:t>and an open research program for even finer metaphysical precision. What follows pursues that promise.</w:t>
      </w:r>
    </w:p>
    <w:p w14:paraId="5065DA53" w14:textId="77777777" w:rsidR="004C467E" w:rsidRPr="004C467E" w:rsidRDefault="00000000" w:rsidP="004C467E">
      <w:pPr>
        <w:rPr>
          <w:rFonts w:ascii="Arial" w:eastAsiaTheme="majorEastAsia" w:hAnsi="Arial" w:cs="Arial"/>
          <w:sz w:val="24"/>
          <w:szCs w:val="24"/>
        </w:rPr>
      </w:pPr>
      <w:r>
        <w:rPr>
          <w:rFonts w:ascii="Arial" w:eastAsiaTheme="majorEastAsia" w:hAnsi="Arial" w:cs="Arial"/>
          <w:sz w:val="24"/>
          <w:szCs w:val="24"/>
        </w:rPr>
        <w:lastRenderedPageBreak/>
        <w:pict w14:anchorId="2E4AE21A">
          <v:rect id="_x0000_i1025" style="width:0;height:1.5pt" o:hralign="center" o:hrstd="t" o:hr="t" fillcolor="#a0a0a0" stroked="f"/>
        </w:pict>
      </w:r>
    </w:p>
    <w:p w14:paraId="4F9FF7DD" w14:textId="6C846606" w:rsidR="00201FBE" w:rsidRPr="004C467E" w:rsidRDefault="00201FBE" w:rsidP="004C467E"/>
    <w:sectPr w:rsidR="00201FBE" w:rsidRPr="004C467E"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5457" w14:textId="77777777" w:rsidR="005E34B0" w:rsidRDefault="005E34B0" w:rsidP="000E008D">
      <w:pPr>
        <w:spacing w:after="0" w:line="240" w:lineRule="auto"/>
      </w:pPr>
      <w:r>
        <w:separator/>
      </w:r>
    </w:p>
  </w:endnote>
  <w:endnote w:type="continuationSeparator" w:id="0">
    <w:p w14:paraId="1471B163" w14:textId="77777777" w:rsidR="005E34B0" w:rsidRDefault="005E34B0" w:rsidP="000E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9832" w14:textId="77777777" w:rsidR="005E34B0" w:rsidRDefault="005E34B0" w:rsidP="000E008D">
      <w:pPr>
        <w:spacing w:after="0" w:line="240" w:lineRule="auto"/>
      </w:pPr>
      <w:r>
        <w:separator/>
      </w:r>
    </w:p>
  </w:footnote>
  <w:footnote w:type="continuationSeparator" w:id="0">
    <w:p w14:paraId="495C5A9A" w14:textId="77777777" w:rsidR="005E34B0" w:rsidRDefault="005E34B0" w:rsidP="000E008D">
      <w:pPr>
        <w:spacing w:after="0" w:line="240" w:lineRule="auto"/>
      </w:pPr>
      <w:r>
        <w:continuationSeparator/>
      </w:r>
    </w:p>
  </w:footnote>
  <w:footnote w:id="1">
    <w:p w14:paraId="4B32AE48" w14:textId="13D840BA" w:rsidR="000E008D" w:rsidRDefault="000E008D">
      <w:pPr>
        <w:pStyle w:val="FootnoteText"/>
      </w:pPr>
      <w:r>
        <w:rPr>
          <w:rStyle w:val="FootnoteReference"/>
        </w:rPr>
        <w:footnoteRef/>
      </w:r>
      <w:r>
        <w:t xml:space="preserve"> </w:t>
      </w:r>
      <w:r w:rsidR="00BF44A8" w:rsidRPr="00BF44A8">
        <w:rPr>
          <w:rFonts w:ascii="Arial" w:eastAsiaTheme="majorEastAsia" w:hAnsi="Arial" w:cs="Arial"/>
        </w:rPr>
        <w:t xml:space="preserve">Francisco Suárez, </w:t>
      </w:r>
      <w:r w:rsidR="00BF44A8" w:rsidRPr="00BF44A8">
        <w:rPr>
          <w:rFonts w:ascii="Arial" w:eastAsiaTheme="majorEastAsia" w:hAnsi="Arial" w:cs="Arial"/>
          <w:i/>
          <w:iCs/>
        </w:rPr>
        <w:t xml:space="preserve">Disputationes </w:t>
      </w:r>
      <w:proofErr w:type="spellStart"/>
      <w:r w:rsidR="00BF44A8" w:rsidRPr="00BF44A8">
        <w:rPr>
          <w:rFonts w:ascii="Arial" w:eastAsiaTheme="majorEastAsia" w:hAnsi="Arial" w:cs="Arial"/>
          <w:i/>
          <w:iCs/>
        </w:rPr>
        <w:t>Metaphysicae</w:t>
      </w:r>
      <w:proofErr w:type="spellEnd"/>
      <w:r w:rsidR="00BF44A8" w:rsidRPr="00BF44A8">
        <w:rPr>
          <w:rFonts w:ascii="Arial" w:eastAsiaTheme="majorEastAsia" w:hAnsi="Arial" w:cs="Arial"/>
        </w:rPr>
        <w:t xml:space="preserve"> VII, c. 1, n. 27.</w:t>
      </w:r>
    </w:p>
  </w:footnote>
  <w:footnote w:id="2">
    <w:p w14:paraId="1258165D" w14:textId="34CF4A29" w:rsidR="00BF44A8" w:rsidRDefault="00BF44A8">
      <w:pPr>
        <w:pStyle w:val="FootnoteText"/>
      </w:pPr>
      <w:r>
        <w:rPr>
          <w:rStyle w:val="FootnoteReference"/>
        </w:rPr>
        <w:footnoteRef/>
      </w:r>
      <w:r>
        <w:t xml:space="preserve"> </w:t>
      </w:r>
      <w:r w:rsidRPr="00BF44A8">
        <w:rPr>
          <w:rFonts w:ascii="Arial" w:eastAsiaTheme="majorEastAsia" w:hAnsi="Arial" w:cs="Arial"/>
        </w:rPr>
        <w:t xml:space="preserve">Henri de Lubac, </w:t>
      </w:r>
      <w:r w:rsidRPr="00BF44A8">
        <w:rPr>
          <w:rFonts w:ascii="Arial" w:eastAsiaTheme="majorEastAsia" w:hAnsi="Arial" w:cs="Arial"/>
          <w:i/>
          <w:iCs/>
        </w:rPr>
        <w:t>Mystery of the Supernatural</w:t>
      </w:r>
      <w:r w:rsidRPr="00BF44A8">
        <w:rPr>
          <w:rFonts w:ascii="Arial" w:eastAsiaTheme="majorEastAsia" w:hAnsi="Arial" w:cs="Arial"/>
        </w:rPr>
        <w:t xml:space="preserve"> (New York: Herder &amp; Herder, 1967), 142.</w:t>
      </w:r>
    </w:p>
  </w:footnote>
  <w:footnote w:id="3">
    <w:p w14:paraId="6B6C72AB" w14:textId="2D144100" w:rsidR="006747F8" w:rsidRDefault="006747F8">
      <w:pPr>
        <w:pStyle w:val="FootnoteText"/>
      </w:pPr>
      <w:r>
        <w:rPr>
          <w:rStyle w:val="FootnoteReference"/>
        </w:rPr>
        <w:footnoteRef/>
      </w:r>
      <w:r>
        <w:t xml:space="preserve"> </w:t>
      </w:r>
      <w:r w:rsidRPr="006747F8">
        <w:rPr>
          <w:rFonts w:ascii="Arial" w:eastAsiaTheme="majorEastAsia" w:hAnsi="Arial" w:cs="Arial"/>
        </w:rPr>
        <w:t xml:space="preserve">Karl Rahner, </w:t>
      </w:r>
      <w:r w:rsidRPr="006747F8">
        <w:rPr>
          <w:rFonts w:ascii="Arial" w:eastAsiaTheme="majorEastAsia" w:hAnsi="Arial" w:cs="Arial"/>
          <w:i/>
          <w:iCs/>
        </w:rPr>
        <w:t>Spirit in the World</w:t>
      </w:r>
      <w:r w:rsidRPr="006747F8">
        <w:rPr>
          <w:rFonts w:ascii="Arial" w:eastAsiaTheme="majorEastAsia" w:hAnsi="Arial" w:cs="Arial"/>
        </w:rPr>
        <w:t>, trans. William Dyer (New York: Herder &amp; Herder, 1968), 215.</w:t>
      </w:r>
    </w:p>
  </w:footnote>
  <w:footnote w:id="4">
    <w:p w14:paraId="657BA04F" w14:textId="07D26B22" w:rsidR="006747F8" w:rsidRDefault="006747F8">
      <w:pPr>
        <w:pStyle w:val="FootnoteText"/>
      </w:pPr>
      <w:r>
        <w:rPr>
          <w:rStyle w:val="FootnoteReference"/>
        </w:rPr>
        <w:footnoteRef/>
      </w:r>
      <w:r>
        <w:t xml:space="preserve"> </w:t>
      </w:r>
      <w:r w:rsidRPr="006747F8">
        <w:rPr>
          <w:rFonts w:ascii="Arial" w:eastAsiaTheme="majorEastAsia" w:hAnsi="Arial" w:cs="Arial"/>
        </w:rPr>
        <w:t>Cyril O’Regan, “The Return of the Theological in the Thought of Jean</w:t>
      </w:r>
      <w:r w:rsidRPr="006747F8">
        <w:rPr>
          <w:rFonts w:ascii="Arial" w:eastAsiaTheme="majorEastAsia" w:hAnsi="Arial" w:cs="Arial"/>
        </w:rPr>
        <w:noBreakHyphen/>
        <w:t xml:space="preserve">Luc Marion: A Reading of </w:t>
      </w:r>
      <w:r w:rsidRPr="006747F8">
        <w:rPr>
          <w:rFonts w:ascii="Arial" w:eastAsiaTheme="majorEastAsia" w:hAnsi="Arial" w:cs="Arial"/>
          <w:i/>
          <w:iCs/>
        </w:rPr>
        <w:t>Givenness and Revelation</w:t>
      </w:r>
      <w:r w:rsidRPr="006747F8">
        <w:rPr>
          <w:rFonts w:ascii="Arial" w:eastAsiaTheme="majorEastAsia" w:hAnsi="Arial" w:cs="Arial"/>
        </w:rPr>
        <w:t xml:space="preserve">,” </w:t>
      </w:r>
      <w:r w:rsidRPr="006747F8">
        <w:rPr>
          <w:rFonts w:ascii="Arial" w:eastAsiaTheme="majorEastAsia" w:hAnsi="Arial" w:cs="Arial"/>
          <w:i/>
          <w:iCs/>
        </w:rPr>
        <w:t>Nova et </w:t>
      </w:r>
      <w:proofErr w:type="spellStart"/>
      <w:r w:rsidRPr="006747F8">
        <w:rPr>
          <w:rFonts w:ascii="Arial" w:eastAsiaTheme="majorEastAsia" w:hAnsi="Arial" w:cs="Arial"/>
          <w:i/>
          <w:iCs/>
        </w:rPr>
        <w:t>Vetera</w:t>
      </w:r>
      <w:proofErr w:type="spellEnd"/>
      <w:r w:rsidRPr="006747F8">
        <w:rPr>
          <w:rFonts w:ascii="Arial" w:eastAsiaTheme="majorEastAsia" w:hAnsi="Arial" w:cs="Arial"/>
        </w:rPr>
        <w:t xml:space="preserve"> 16, no. 3 (2018): 1003.</w:t>
      </w:r>
    </w:p>
  </w:footnote>
  <w:footnote w:id="5">
    <w:p w14:paraId="2E2DE37C" w14:textId="1AEE1524" w:rsidR="009B4D9C" w:rsidRDefault="009B4D9C">
      <w:pPr>
        <w:pStyle w:val="FootnoteText"/>
      </w:pPr>
      <w:r>
        <w:rPr>
          <w:rStyle w:val="FootnoteReference"/>
        </w:rPr>
        <w:footnoteRef/>
      </w:r>
      <w:r>
        <w:t xml:space="preserve"> </w:t>
      </w:r>
      <w:r w:rsidRPr="009B4D9C">
        <w:rPr>
          <w:rFonts w:ascii="Arial" w:eastAsiaTheme="majorEastAsia" w:hAnsi="Arial" w:cs="Arial"/>
        </w:rPr>
        <w:t>Ibid., 1000.</w:t>
      </w:r>
    </w:p>
  </w:footnote>
  <w:footnote w:id="6">
    <w:p w14:paraId="672ABE1B" w14:textId="2279E3CE" w:rsidR="009B4D9C" w:rsidRDefault="009B4D9C">
      <w:pPr>
        <w:pStyle w:val="FootnoteText"/>
      </w:pPr>
      <w:r>
        <w:rPr>
          <w:rStyle w:val="FootnoteReference"/>
        </w:rPr>
        <w:footnoteRef/>
      </w:r>
      <w:r>
        <w:t xml:space="preserve"> </w:t>
      </w:r>
      <w:r w:rsidRPr="009B4D9C">
        <w:rPr>
          <w:rFonts w:ascii="Arial" w:eastAsiaTheme="majorEastAsia" w:hAnsi="Arial" w:cs="Arial"/>
        </w:rPr>
        <w:t xml:space="preserve">Robyn Horner, </w:t>
      </w:r>
      <w:r w:rsidRPr="009B4D9C">
        <w:rPr>
          <w:rFonts w:ascii="Arial" w:eastAsiaTheme="majorEastAsia" w:hAnsi="Arial" w:cs="Arial"/>
          <w:i/>
          <w:iCs/>
        </w:rPr>
        <w:t>Rethinking God as Gift: Marion, Derrida, and the Limits of Phenomenology</w:t>
      </w:r>
      <w:r w:rsidRPr="009B4D9C">
        <w:rPr>
          <w:rFonts w:ascii="Arial" w:eastAsiaTheme="majorEastAsia" w:hAnsi="Arial" w:cs="Arial"/>
        </w:rPr>
        <w:t xml:space="preserve"> (New York: Fordham University Press, 2001), 8.</w:t>
      </w:r>
    </w:p>
  </w:footnote>
  <w:footnote w:id="7">
    <w:p w14:paraId="373F6835" w14:textId="47BBFCEE" w:rsidR="009B4D9C" w:rsidRDefault="009B4D9C">
      <w:pPr>
        <w:pStyle w:val="FootnoteText"/>
      </w:pPr>
      <w:r>
        <w:rPr>
          <w:rStyle w:val="FootnoteReference"/>
        </w:rPr>
        <w:footnoteRef/>
      </w:r>
      <w:r>
        <w:t xml:space="preserve"> </w:t>
      </w:r>
      <w:r w:rsidRPr="009B4D9C">
        <w:rPr>
          <w:rFonts w:ascii="Arial" w:eastAsiaTheme="majorEastAsia" w:hAnsi="Arial" w:cs="Arial"/>
        </w:rPr>
        <w:t>Ibid., 149.</w:t>
      </w:r>
    </w:p>
  </w:footnote>
  <w:footnote w:id="8">
    <w:p w14:paraId="25998390" w14:textId="65D20FBD" w:rsidR="009B4D9C" w:rsidRDefault="009B4D9C">
      <w:pPr>
        <w:pStyle w:val="FootnoteText"/>
      </w:pPr>
      <w:r>
        <w:rPr>
          <w:rStyle w:val="FootnoteReference"/>
        </w:rPr>
        <w:footnoteRef/>
      </w:r>
      <w:r>
        <w:t xml:space="preserve"> </w:t>
      </w:r>
      <w:r w:rsidRPr="009B4D9C">
        <w:rPr>
          <w:rFonts w:ascii="Arial" w:eastAsiaTheme="majorEastAsia" w:hAnsi="Arial" w:cs="Arial"/>
        </w:rPr>
        <w:t>Jean</w:t>
      </w:r>
      <w:r w:rsidRPr="009B4D9C">
        <w:rPr>
          <w:rFonts w:ascii="Arial" w:eastAsiaTheme="majorEastAsia" w:hAnsi="Arial" w:cs="Arial"/>
        </w:rPr>
        <w:noBreakHyphen/>
        <w:t xml:space="preserve">Luc Marion, </w:t>
      </w:r>
      <w:r w:rsidRPr="009B4D9C">
        <w:rPr>
          <w:rFonts w:ascii="Arial" w:eastAsiaTheme="majorEastAsia" w:hAnsi="Arial" w:cs="Arial"/>
          <w:i/>
          <w:iCs/>
        </w:rPr>
        <w:t>Givenness and Revelation</w:t>
      </w:r>
      <w:r w:rsidRPr="009B4D9C">
        <w:rPr>
          <w:rFonts w:ascii="Arial" w:eastAsiaTheme="majorEastAsia" w:hAnsi="Arial" w:cs="Arial"/>
        </w:rPr>
        <w:t xml:space="preserve"> (Oxford: Oxford University Press, 2016), 112 –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1257747">
    <w:abstractNumId w:val="8"/>
  </w:num>
  <w:num w:numId="2" w16cid:durableId="1209613358">
    <w:abstractNumId w:val="6"/>
  </w:num>
  <w:num w:numId="3" w16cid:durableId="1634628195">
    <w:abstractNumId w:val="5"/>
  </w:num>
  <w:num w:numId="4" w16cid:durableId="1423573838">
    <w:abstractNumId w:val="4"/>
  </w:num>
  <w:num w:numId="5" w16cid:durableId="2093811346">
    <w:abstractNumId w:val="7"/>
  </w:num>
  <w:num w:numId="6" w16cid:durableId="1520241944">
    <w:abstractNumId w:val="3"/>
  </w:num>
  <w:num w:numId="7" w16cid:durableId="576523985">
    <w:abstractNumId w:val="2"/>
  </w:num>
  <w:num w:numId="8" w16cid:durableId="617612105">
    <w:abstractNumId w:val="1"/>
  </w:num>
  <w:num w:numId="9" w16cid:durableId="144284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008D"/>
    <w:rsid w:val="0015074B"/>
    <w:rsid w:val="00201FBE"/>
    <w:rsid w:val="0029639D"/>
    <w:rsid w:val="002E5582"/>
    <w:rsid w:val="00326F90"/>
    <w:rsid w:val="0047522A"/>
    <w:rsid w:val="004C467E"/>
    <w:rsid w:val="005E34B0"/>
    <w:rsid w:val="006747F8"/>
    <w:rsid w:val="00782038"/>
    <w:rsid w:val="009B4D9C"/>
    <w:rsid w:val="00AA1D8D"/>
    <w:rsid w:val="00B47730"/>
    <w:rsid w:val="00BF44A8"/>
    <w:rsid w:val="00CB0664"/>
    <w:rsid w:val="00FB253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9122F"/>
  <w14:defaultImageDpi w14:val="300"/>
  <w15:docId w15:val="{8BCFAF88-A315-4F7B-9CCC-AF83E85E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semiHidden/>
    <w:unhideWhenUsed/>
    <w:rsid w:val="000E008D"/>
    <w:pPr>
      <w:spacing w:after="0" w:line="240" w:lineRule="auto"/>
    </w:pPr>
    <w:rPr>
      <w:szCs w:val="20"/>
    </w:rPr>
  </w:style>
  <w:style w:type="character" w:customStyle="1" w:styleId="FootnoteTextChar">
    <w:name w:val="Footnote Text Char"/>
    <w:basedOn w:val="DefaultParagraphFont"/>
    <w:link w:val="FootnoteText"/>
    <w:uiPriority w:val="99"/>
    <w:semiHidden/>
    <w:rsid w:val="000E008D"/>
    <w:rPr>
      <w:sz w:val="20"/>
      <w:szCs w:val="20"/>
    </w:rPr>
  </w:style>
  <w:style w:type="character" w:styleId="FootnoteReference">
    <w:name w:val="footnote reference"/>
    <w:basedOn w:val="DefaultParagraphFont"/>
    <w:uiPriority w:val="99"/>
    <w:semiHidden/>
    <w:unhideWhenUsed/>
    <w:rsid w:val="000E0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44773">
      <w:bodyDiv w:val="1"/>
      <w:marLeft w:val="0"/>
      <w:marRight w:val="0"/>
      <w:marTop w:val="0"/>
      <w:marBottom w:val="0"/>
      <w:divBdr>
        <w:top w:val="none" w:sz="0" w:space="0" w:color="auto"/>
        <w:left w:val="none" w:sz="0" w:space="0" w:color="auto"/>
        <w:bottom w:val="none" w:sz="0" w:space="0" w:color="auto"/>
        <w:right w:val="none" w:sz="0" w:space="0" w:color="auto"/>
      </w:divBdr>
    </w:div>
    <w:div w:id="745222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Lovechild</cp:lastModifiedBy>
  <cp:revision>8</cp:revision>
  <dcterms:created xsi:type="dcterms:W3CDTF">2025-04-18T14:26:00Z</dcterms:created>
  <dcterms:modified xsi:type="dcterms:W3CDTF">2025-04-19T18:52:00Z</dcterms:modified>
  <cp:category/>
</cp:coreProperties>
</file>